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w:t>
      </w:r>
      <w:r w:rsidR="002C03DE">
        <w:rPr>
          <w:b/>
        </w:rPr>
        <w:t>234/IX/2025</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Pada hari ini, hari</w:t>
      </w:r>
      <w:r w:rsidR="002C03DE">
        <w:t xml:space="preserve"> </w:t>
      </w:r>
      <w:bookmarkStart w:id="0" w:name="_GoBack"/>
      <w:r w:rsidR="002C03DE">
        <w:t>Senin</w:t>
      </w:r>
      <w:r w:rsidR="00B41832" w:rsidRPr="00185373">
        <w:t xml:space="preserve"> </w:t>
      </w:r>
      <w:bookmarkEnd w:id="0"/>
      <w:r w:rsidR="00B41832" w:rsidRPr="00185373">
        <w:t xml:space="preserve">tanggal </w:t>
      </w:r>
      <w:r w:rsidR="002C03DE">
        <w:t xml:space="preserve">Sembilan </w:t>
      </w:r>
      <w:r w:rsidR="00B41832" w:rsidRPr="00185373">
        <w:t>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proofErr w:type="gramStart"/>
      <w:r w:rsidR="006E7A2E">
        <w:t>…..</w:t>
      </w:r>
      <w:proofErr w:type="gramEnd"/>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w:t>
      </w:r>
      <w:proofErr w:type="gramStart"/>
      <w:r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w:t>
      </w:r>
      <w:proofErr w:type="gramStart"/>
      <w:r w:rsidRPr="00185373">
        <w:t>Nomor :</w:t>
      </w:r>
      <w:proofErr w:type="gramEnd"/>
      <w:r w:rsidRPr="00185373">
        <w:t xml:space="preserve">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32"/>
    <w:rsid w:val="000913E3"/>
    <w:rsid w:val="00185373"/>
    <w:rsid w:val="00247CF2"/>
    <w:rsid w:val="002561B5"/>
    <w:rsid w:val="002C03DE"/>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3E2B93"/>
  <w15:docId w15:val="{3238F571-7E16-4B60-9CFA-A90F66A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7382</Words>
  <Characters>42083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Anfri Engky</cp:lastModifiedBy>
  <cp:revision>2</cp:revision>
  <dcterms:created xsi:type="dcterms:W3CDTF">2025-09-22T10:22:00Z</dcterms:created>
  <dcterms:modified xsi:type="dcterms:W3CDTF">2025-09-22T10:22:00Z</dcterms:modified>
</cp:coreProperties>
</file>