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9F6B2A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MUAWAN</w:t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9F6B2A">
        <w:rPr>
          <w:rFonts w:ascii="Bookman Old Style" w:hAnsi="Bookman Old Style"/>
          <w:noProof/>
          <w:color w:val="0D0D0D"/>
          <w:sz w:val="28"/>
          <w:szCs w:val="28"/>
        </w:rPr>
        <w:t>DKI JAKARTA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9F6B2A">
        <w:rPr>
          <w:rFonts w:ascii="Bookman Old Style" w:hAnsi="Bookman Old Style"/>
          <w:noProof/>
          <w:color w:val="0D0D0D"/>
          <w:sz w:val="28"/>
          <w:szCs w:val="28"/>
        </w:rPr>
        <w:t>0192098873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9F6B2A">
        <w:rPr>
          <w:rFonts w:ascii="Bookman Old Style" w:hAnsi="Bookman Old Style"/>
          <w:noProof/>
          <w:color w:val="0D0D0D"/>
        </w:rPr>
        <w:t>12 Mei 2012</w:t>
      </w:r>
    </w:p>
    <w:p w:rsidR="00B94FE0" w:rsidRDefault="00077862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>
        <w:rPr>
          <w:rFonts w:ascii="Bookman Old Style" w:hAnsi="Bookman Old Style"/>
          <w:noProof/>
          <w:color w:val="0D0D0D"/>
        </w:rPr>
        <w:t>FINAL</w:t>
      </w:r>
      <w:bookmarkStart w:id="0" w:name="_GoBack"/>
      <w:bookmarkEnd w:id="0"/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9F6B2A">
        <w:rPr>
          <w:rFonts w:ascii="Bookman Old Style" w:hAnsi="Bookman Old Style"/>
          <w:noProof/>
          <w:color w:val="0D0D0D"/>
        </w:rPr>
        <w:t xml:space="preserve">5553333 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Fax. (021) </w:t>
      </w:r>
      <w:r w:rsidR="009F6B2A">
        <w:rPr>
          <w:rFonts w:ascii="Bookman Old Style" w:hAnsi="Bookman Old Style"/>
          <w:noProof/>
          <w:color w:val="0D0D0D"/>
        </w:rPr>
        <w:t>4455566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</w:t>
      </w:r>
      <w:r w:rsidR="009F6B2A">
        <w:rPr>
          <w:rFonts w:ascii="Bookman Old Style" w:hAnsi="Bookman Old Style"/>
          <w:color w:val="0D0D0D"/>
        </w:rPr>
        <w:t>22,-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b/>
          <w:noProof/>
          <w:color w:val="0D0D0D"/>
        </w:rPr>
        <w:t>…………………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………………………………………………………………......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lastRenderedPageBreak/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lastRenderedPageBreak/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lastRenderedPageBreak/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lastRenderedPageBreak/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2B52AA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…………………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D4" w:rsidRDefault="00F501D4" w:rsidP="000856A7">
      <w:r>
        <w:separator/>
      </w:r>
    </w:p>
  </w:endnote>
  <w:endnote w:type="continuationSeparator" w:id="0">
    <w:p w:rsidR="00F501D4" w:rsidRDefault="00F501D4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077862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077862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D4" w:rsidRDefault="00F501D4" w:rsidP="000856A7">
      <w:r>
        <w:separator/>
      </w:r>
    </w:p>
  </w:footnote>
  <w:footnote w:type="continuationSeparator" w:id="0">
    <w:p w:rsidR="00F501D4" w:rsidRDefault="00F501D4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862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4FD6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6B2A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1D4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BD11-DE2D-4D50-B639-D9C7F078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2017-08-14T03:50:00Z</dcterms:created>
  <dcterms:modified xsi:type="dcterms:W3CDTF">2017-08-14T03:50:00Z</dcterms:modified>
</cp:coreProperties>
</file>